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hd w:val="clear" w:color="auto" w:fill="FFFFFF"/>
        <w:spacing w:line="240" w:lineRule="auto"/>
        <w:ind w:right="9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ind w:right="94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26 ноября 2020 года № 55  «О бюджете  Новоминского сельского поселения 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на 2021 год</w:t>
      </w:r>
      <w:bookmarkStart w:id="0" w:name="_GoBack"/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/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C4C6FA8"/>
    <w:rsid w:val="598F61DD"/>
    <w:rsid w:val="6DB04A2C"/>
    <w:rsid w:val="724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Текст2"/>
    <w:basedOn w:val="1"/>
    <w:qFormat/>
    <w:uiPriority w:val="0"/>
    <w:pPr>
      <w:jc w:val="left"/>
    </w:pPr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2021-12-07T12:12:19Z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781670B77AE6431598A24EA4C4C782E3</vt:lpwstr>
  </property>
</Properties>
</file>