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919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21 ноября 2016 года № 90 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» (в редакции  от 28 ноября 2016 года № 91, от 14 марта 2017 года № 107, от 30 ноября 2018 года № 151, от 27 декабря 2018 года №161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, от 24 сентября 2021 года №99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21 ноября 2016 года № 90 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» (в редакции  от 28 ноября 2016 года № 91, от 14 марта 2017 года № 107, от 30 ноября 2018 года № 151, от 27 декабря 2018 года №161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, от 24 сентября 2021 года №99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8"/>
        </w:rPr>
        <w:t>О внесении изменений в решение Совета Новоминского сельского поселения Каневского района от 21 ноября 2016 года № 90  «</w:t>
      </w:r>
      <w:r>
        <w:rPr>
          <w:rFonts w:hint="default" w:ascii="Times New Roman" w:hAnsi="Times New Roman" w:cs="Times New Roman"/>
          <w:b w:val="0"/>
          <w:bCs w:val="0"/>
          <w:color w:val="auto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8"/>
        </w:rPr>
        <w:t>» (в редакции  от 28 ноября 2016 года № 91, от 14 марта 2017 года № 107, от 30 ноября 2018 года № 151, от 27 декабря 2018 года №161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8"/>
          <w:lang w:val="ru-RU"/>
        </w:rPr>
        <w:t>, от 24 сентября 2021 года №99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Cs w:val="28"/>
        </w:rPr>
        <w:t>)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2D83879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2021-11-24T05:39:15Z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C77C7966BF444D9AB53F1A02512A1826</vt:lpwstr>
  </property>
</Properties>
</file>