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17.06.2021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513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 утверждении административного регламента предоставления муниципальной услуги: «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</w:rPr>
        <w:t xml:space="preserve">Прием уведомлений о 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планируемом сносе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</w:rPr>
        <w:t xml:space="preserve"> объекта капитального строительства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 утверждении административного регламента предоставления муниципальной услуги: «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</w:rPr>
        <w:t xml:space="preserve">Прием уведомлений о 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планируемом сносе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</w:rPr>
        <w:t xml:space="preserve"> объекта капитального строительства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 утверждении административного регламента предоставления муниципальной услуги: «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</w:rPr>
        <w:t xml:space="preserve">Прием уведомлений о 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планируемом сносе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</w:rPr>
        <w:t xml:space="preserve"> объекта капитального строительства</w:t>
      </w:r>
      <w:bookmarkStart w:id="0" w:name="_GoBack"/>
      <w:bookmarkEnd w:id="0"/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30F9746C"/>
    <w:rsid w:val="598F61DD"/>
    <w:rsid w:val="793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2021-08-30T11:09:54Z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