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328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ascii="Times New Roman" w:hAnsi="Times New Roman"/>
          <w:b w:val="0"/>
          <w:bCs/>
          <w:sz w:val="28"/>
          <w:szCs w:val="28"/>
        </w:rPr>
        <w:t>О внесении изменений и дополнений в решение Совета Новоминского сельского поселения от 19 ноября 2015 года № 52 «Об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ascii="Times New Roman" w:hAnsi="Times New Roman"/>
          <w:b w:val="0"/>
          <w:bCs/>
          <w:sz w:val="28"/>
          <w:szCs w:val="28"/>
        </w:rPr>
        <w:t>О внесении изменений и дополнений в решение Совета Новоминского сельского поселения от 19 ноября 2015 года № 52 «Об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решение Совета Новоминского сельского поселения от 19 ноября 2015 года № 52 «Об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BC035C"/>
    <w:rsid w:val="0D712DD3"/>
    <w:rsid w:val="11C253B7"/>
    <w:rsid w:val="23A8563B"/>
    <w:rsid w:val="3B207938"/>
    <w:rsid w:val="47FF4B35"/>
    <w:rsid w:val="48B046B7"/>
    <w:rsid w:val="507A71DB"/>
    <w:rsid w:val="53256640"/>
    <w:rsid w:val="53B26A90"/>
    <w:rsid w:val="57D96724"/>
    <w:rsid w:val="598F61DD"/>
    <w:rsid w:val="5B5971A6"/>
    <w:rsid w:val="5EF719C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